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63" w:rsidRPr="00581D6C" w:rsidRDefault="00602E63" w:rsidP="00602E63">
      <w:pPr>
        <w:widowControl/>
        <w:tabs>
          <w:tab w:val="left" w:pos="93"/>
        </w:tabs>
        <w:spacing w:line="460" w:lineRule="exact"/>
        <w:ind w:leftChars="20" w:left="2931" w:hangingChars="900" w:hanging="2883"/>
        <w:jc w:val="center"/>
        <w:rPr>
          <w:rFonts w:ascii="Arial Unicode MS" w:eastAsia="標楷體" w:hAnsi="Arial Unicode MS"/>
          <w:b/>
          <w:color w:val="000000" w:themeColor="text1"/>
          <w:kern w:val="0"/>
        </w:rPr>
      </w:pPr>
      <w:r w:rsidRPr="00581D6C">
        <w:rPr>
          <w:rFonts w:ascii="標楷體" w:eastAsia="標楷體" w:hAnsi="標楷體" w:hint="eastAsia"/>
          <w:b/>
          <w:color w:val="000000" w:themeColor="text1"/>
          <w:kern w:val="0"/>
          <w:sz w:val="32"/>
          <w:szCs w:val="32"/>
        </w:rPr>
        <w:t>國立西螺高級農工職業學校</w:t>
      </w:r>
      <w:r w:rsidRPr="00581D6C">
        <w:rPr>
          <w:rFonts w:ascii="Arial Unicode MS" w:eastAsia="標楷體" w:hAnsi="Arial Unicode MS" w:hint="eastAsia"/>
          <w:b/>
          <w:color w:val="000000" w:themeColor="text1"/>
          <w:kern w:val="0"/>
          <w:sz w:val="32"/>
          <w:szCs w:val="32"/>
        </w:rPr>
        <w:t>推動公務人員終身學習實施計畫</w:t>
      </w:r>
    </w:p>
    <w:p w:rsidR="00602E63" w:rsidRPr="00BA09F8" w:rsidRDefault="00602E63" w:rsidP="00602E63">
      <w:pPr>
        <w:widowControl/>
        <w:tabs>
          <w:tab w:val="left" w:pos="93"/>
        </w:tabs>
        <w:spacing w:line="240" w:lineRule="exact"/>
        <w:jc w:val="right"/>
        <w:rPr>
          <w:rFonts w:ascii="標楷體" w:eastAsia="標楷體" w:hAnsi="標楷體"/>
          <w:kern w:val="0"/>
          <w:sz w:val="20"/>
          <w:szCs w:val="20"/>
        </w:rPr>
      </w:pPr>
      <w:r w:rsidRPr="00BA09F8">
        <w:rPr>
          <w:rFonts w:ascii="標楷體" w:eastAsia="標楷體" w:hAnsi="標楷體" w:hint="eastAsia"/>
          <w:kern w:val="0"/>
          <w:sz w:val="20"/>
          <w:szCs w:val="20"/>
        </w:rPr>
        <w:t>109年3月9日行政會議通過</w:t>
      </w:r>
    </w:p>
    <w:p w:rsidR="00602E63" w:rsidRPr="00BA09F8" w:rsidRDefault="00602E63" w:rsidP="00602E63">
      <w:pPr>
        <w:widowControl/>
        <w:tabs>
          <w:tab w:val="left" w:pos="93"/>
        </w:tabs>
        <w:spacing w:line="240" w:lineRule="exact"/>
        <w:jc w:val="right"/>
        <w:rPr>
          <w:rFonts w:ascii="標楷體" w:eastAsia="標楷體" w:hAnsi="標楷體"/>
          <w:kern w:val="0"/>
          <w:sz w:val="20"/>
          <w:szCs w:val="20"/>
        </w:rPr>
      </w:pPr>
      <w:r w:rsidRPr="00BA09F8">
        <w:rPr>
          <w:rFonts w:ascii="標楷體" w:eastAsia="標楷體" w:hAnsi="標楷體" w:hint="eastAsia"/>
          <w:kern w:val="0"/>
          <w:sz w:val="20"/>
          <w:szCs w:val="20"/>
        </w:rPr>
        <w:t>110年</w:t>
      </w:r>
      <w:r>
        <w:rPr>
          <w:rFonts w:ascii="標楷體" w:eastAsia="標楷體" w:hAnsi="標楷體" w:hint="eastAsia"/>
          <w:kern w:val="0"/>
          <w:sz w:val="20"/>
          <w:szCs w:val="20"/>
        </w:rPr>
        <w:t>2</w:t>
      </w:r>
      <w:r w:rsidRPr="00BA09F8">
        <w:rPr>
          <w:rFonts w:ascii="標楷體" w:eastAsia="標楷體" w:hAnsi="標楷體" w:hint="eastAsia"/>
          <w:kern w:val="0"/>
          <w:sz w:val="20"/>
          <w:szCs w:val="20"/>
        </w:rPr>
        <w:t>月</w:t>
      </w:r>
      <w:r>
        <w:rPr>
          <w:rFonts w:ascii="標楷體" w:eastAsia="標楷體" w:hAnsi="標楷體" w:hint="eastAsia"/>
          <w:kern w:val="0"/>
          <w:sz w:val="20"/>
          <w:szCs w:val="20"/>
        </w:rPr>
        <w:t>22</w:t>
      </w:r>
      <w:r w:rsidRPr="00BA09F8">
        <w:rPr>
          <w:rFonts w:ascii="標楷體" w:eastAsia="標楷體" w:hAnsi="標楷體" w:hint="eastAsia"/>
          <w:kern w:val="0"/>
          <w:sz w:val="20"/>
          <w:szCs w:val="20"/>
        </w:rPr>
        <w:t>日行政會議修正通過</w:t>
      </w:r>
    </w:p>
    <w:p w:rsidR="00602E63" w:rsidRPr="00BA09F8" w:rsidRDefault="00602E63" w:rsidP="00602E63">
      <w:pPr>
        <w:widowControl/>
        <w:spacing w:line="340" w:lineRule="exact"/>
        <w:jc w:val="both"/>
        <w:rPr>
          <w:rFonts w:ascii="Arial Unicode MS" w:eastAsia="標楷體" w:hAnsi="Arial Unicode MS"/>
          <w:kern w:val="0"/>
        </w:rPr>
      </w:pPr>
      <w:r w:rsidRPr="00BA09F8">
        <w:rPr>
          <w:rFonts w:ascii="Arial Unicode MS" w:eastAsia="標楷體" w:hAnsi="Arial Unicode MS" w:hint="eastAsia"/>
          <w:kern w:val="0"/>
        </w:rPr>
        <w:t>壹、依據：</w:t>
      </w:r>
    </w:p>
    <w:p w:rsidR="00602E63" w:rsidRPr="00BA09F8" w:rsidRDefault="00602E63" w:rsidP="00602E63">
      <w:pPr>
        <w:widowControl/>
        <w:spacing w:line="340" w:lineRule="exact"/>
        <w:ind w:leftChars="133" w:left="319"/>
        <w:jc w:val="both"/>
        <w:rPr>
          <w:rFonts w:ascii="標楷體" w:eastAsia="標楷體" w:hAnsi="標楷體"/>
          <w:kern w:val="0"/>
        </w:rPr>
      </w:pPr>
      <w:r w:rsidRPr="00BA09F8">
        <w:rPr>
          <w:rFonts w:ascii="Arial Unicode MS" w:eastAsia="標楷體" w:hAnsi="Arial Unicode MS" w:hint="eastAsia"/>
          <w:kern w:val="0"/>
        </w:rPr>
        <w:t>依據「政院及所屬機關學校推動公務人員終身學習實施要點」</w:t>
      </w:r>
      <w:r w:rsidRPr="00BA09F8">
        <w:rPr>
          <w:rFonts w:ascii="標楷體" w:eastAsia="標楷體" w:hAnsi="標楷體" w:hint="eastAsia"/>
          <w:kern w:val="0"/>
        </w:rPr>
        <w:t>及</w:t>
      </w:r>
      <w:r w:rsidRPr="00BA09F8">
        <w:rPr>
          <w:rFonts w:ascii="Arial Unicode MS" w:eastAsia="標楷體" w:hAnsi="Arial Unicode MS" w:hint="eastAsia"/>
          <w:kern w:val="0"/>
        </w:rPr>
        <w:t>「</w:t>
      </w:r>
      <w:r w:rsidRPr="00BA09F8">
        <w:rPr>
          <w:rFonts w:ascii="標楷體" w:eastAsia="標楷體" w:hAnsi="標楷體" w:hint="eastAsia"/>
          <w:kern w:val="0"/>
        </w:rPr>
        <w:t>教育部所屬機關學校員工數位學習推動方案</w:t>
      </w:r>
      <w:r w:rsidRPr="00BA09F8">
        <w:rPr>
          <w:rFonts w:ascii="Arial Unicode MS" w:eastAsia="標楷體" w:hAnsi="Arial Unicode MS" w:hint="eastAsia"/>
          <w:kern w:val="0"/>
        </w:rPr>
        <w:t>」</w:t>
      </w:r>
      <w:r w:rsidRPr="00BA09F8">
        <w:rPr>
          <w:rFonts w:ascii="標楷體" w:eastAsia="標楷體" w:hAnsi="標楷體" w:hint="eastAsia"/>
          <w:kern w:val="0"/>
        </w:rPr>
        <w:t>訂定。</w:t>
      </w:r>
    </w:p>
    <w:p w:rsidR="00602E63" w:rsidRPr="00BA09F8" w:rsidRDefault="00602E63" w:rsidP="00602E63">
      <w:pPr>
        <w:widowControl/>
        <w:tabs>
          <w:tab w:val="left" w:pos="93"/>
        </w:tabs>
        <w:spacing w:line="340" w:lineRule="exact"/>
        <w:jc w:val="both"/>
        <w:rPr>
          <w:rFonts w:ascii="標楷體" w:eastAsia="標楷體" w:hAnsi="標楷體"/>
          <w:kern w:val="0"/>
        </w:rPr>
      </w:pPr>
      <w:r w:rsidRPr="00BA09F8">
        <w:rPr>
          <w:rFonts w:ascii="標楷體" w:eastAsia="標楷體" w:hAnsi="標楷體" w:hint="eastAsia"/>
          <w:kern w:val="0"/>
        </w:rPr>
        <w:t>貳、願景：</w:t>
      </w:r>
    </w:p>
    <w:p w:rsidR="00602E63" w:rsidRPr="00BA09F8" w:rsidRDefault="00602E63" w:rsidP="00602E63">
      <w:pPr>
        <w:spacing w:line="340" w:lineRule="exact"/>
        <w:ind w:leftChars="132" w:left="317"/>
        <w:jc w:val="both"/>
        <w:rPr>
          <w:rFonts w:eastAsia="標楷體"/>
        </w:rPr>
      </w:pPr>
      <w:r w:rsidRPr="00BA09F8">
        <w:rPr>
          <w:rFonts w:eastAsia="標楷體" w:hint="eastAsia"/>
        </w:rPr>
        <w:t>善用各項學習資源及資訊科技，營造不受時空限制之優質數位學習環境與機制，激發公務人員學習動機，開發公務人力無限潛能，以</w:t>
      </w:r>
      <w:r w:rsidRPr="00BA09F8">
        <w:rPr>
          <w:rFonts w:eastAsia="標楷體" w:hAnsi="標楷體" w:hint="eastAsia"/>
        </w:rPr>
        <w:t>提升服務品質與效率。</w:t>
      </w:r>
    </w:p>
    <w:p w:rsidR="00602E63" w:rsidRPr="00BA09F8" w:rsidRDefault="00602E63" w:rsidP="00602E63">
      <w:pPr>
        <w:tabs>
          <w:tab w:val="left" w:pos="93"/>
        </w:tabs>
        <w:spacing w:line="340" w:lineRule="exact"/>
        <w:jc w:val="both"/>
        <w:rPr>
          <w:rFonts w:ascii="標楷體" w:eastAsia="標楷體" w:hAnsi="標楷體"/>
        </w:rPr>
      </w:pPr>
      <w:r w:rsidRPr="00BA09F8">
        <w:rPr>
          <w:rFonts w:ascii="標楷體" w:eastAsia="標楷體" w:hAnsi="標楷體" w:hint="eastAsia"/>
        </w:rPr>
        <w:t>參、目的：</w:t>
      </w:r>
    </w:p>
    <w:p w:rsidR="00602E63" w:rsidRPr="00BA09F8" w:rsidRDefault="00602E63" w:rsidP="00602E63">
      <w:pPr>
        <w:tabs>
          <w:tab w:val="left" w:pos="93"/>
        </w:tabs>
        <w:spacing w:line="340" w:lineRule="exact"/>
        <w:ind w:leftChars="150" w:left="871" w:hangingChars="213" w:hanging="511"/>
        <w:jc w:val="both"/>
        <w:rPr>
          <w:rFonts w:ascii="標楷體" w:eastAsia="標楷體" w:hAnsi="標楷體"/>
        </w:rPr>
      </w:pPr>
      <w:r w:rsidRPr="00BA09F8">
        <w:rPr>
          <w:rFonts w:ascii="標楷體" w:eastAsia="標楷體" w:hAnsi="標楷體" w:hint="eastAsia"/>
        </w:rPr>
        <w:t>一、塑造本校終身學習文化，提升公務人員終身學習時數及運用數位學習能力與意願。</w:t>
      </w:r>
    </w:p>
    <w:p w:rsidR="00602E63" w:rsidRPr="00BA09F8" w:rsidRDefault="00602E63" w:rsidP="00602E63">
      <w:pPr>
        <w:tabs>
          <w:tab w:val="left" w:pos="93"/>
        </w:tabs>
        <w:spacing w:line="340" w:lineRule="exact"/>
        <w:ind w:leftChars="150" w:left="360"/>
        <w:jc w:val="both"/>
        <w:rPr>
          <w:rFonts w:ascii="標楷體" w:eastAsia="標楷體" w:hAnsi="標楷體"/>
        </w:rPr>
      </w:pPr>
      <w:r w:rsidRPr="00BA09F8">
        <w:rPr>
          <w:rFonts w:ascii="標楷體" w:eastAsia="標楷體" w:hAnsi="標楷體" w:hint="eastAsia"/>
        </w:rPr>
        <w:t>二、有效運用各項學習資源及數位學習工具，降低政策行銷及訓練之時間與成本。</w:t>
      </w:r>
    </w:p>
    <w:p w:rsidR="00602E63" w:rsidRPr="00BA09F8" w:rsidRDefault="00602E63" w:rsidP="00602E63">
      <w:pPr>
        <w:widowControl/>
        <w:tabs>
          <w:tab w:val="left" w:pos="93"/>
        </w:tabs>
        <w:spacing w:line="340" w:lineRule="exact"/>
        <w:jc w:val="both"/>
        <w:rPr>
          <w:rFonts w:ascii="Arial Unicode MS" w:eastAsia="標楷體" w:hAnsi="Arial Unicode MS"/>
          <w:kern w:val="0"/>
        </w:rPr>
      </w:pPr>
      <w:r w:rsidRPr="00BA09F8">
        <w:rPr>
          <w:rFonts w:ascii="Arial Unicode MS" w:eastAsia="標楷體" w:hAnsi="Arial Unicode MS" w:hint="eastAsia"/>
          <w:kern w:val="0"/>
        </w:rPr>
        <w:t>肆、適用對象：</w:t>
      </w:r>
    </w:p>
    <w:p w:rsidR="00602E63" w:rsidRPr="00BA09F8" w:rsidRDefault="00602E63" w:rsidP="00602E63">
      <w:pPr>
        <w:widowControl/>
        <w:spacing w:line="340" w:lineRule="exact"/>
        <w:ind w:leftChars="133" w:left="319"/>
        <w:jc w:val="both"/>
        <w:rPr>
          <w:rFonts w:ascii="Arial Unicode MS" w:eastAsia="標楷體" w:hAnsi="Arial Unicode MS"/>
          <w:kern w:val="0"/>
        </w:rPr>
      </w:pPr>
      <w:r w:rsidRPr="00BA09F8">
        <w:rPr>
          <w:rFonts w:ascii="Arial Unicode MS" w:eastAsia="標楷體" w:hAnsi="Arial Unicode MS" w:hint="eastAsia"/>
          <w:kern w:val="0"/>
        </w:rPr>
        <w:t>本校公務人員、公務人員考試錄取人員、約僱人員。</w:t>
      </w:r>
    </w:p>
    <w:p w:rsidR="00602E63" w:rsidRPr="00BA09F8" w:rsidRDefault="00602E63" w:rsidP="00602E63">
      <w:pPr>
        <w:tabs>
          <w:tab w:val="left" w:pos="93"/>
        </w:tabs>
        <w:spacing w:line="340" w:lineRule="exact"/>
        <w:jc w:val="both"/>
        <w:rPr>
          <w:rFonts w:ascii="標楷體" w:eastAsia="標楷體" w:hAnsi="標楷體"/>
        </w:rPr>
      </w:pPr>
      <w:r w:rsidRPr="00BA09F8">
        <w:rPr>
          <w:rFonts w:ascii="標楷體" w:eastAsia="標楷體" w:hAnsi="標楷體" w:hint="eastAsia"/>
        </w:rPr>
        <w:t>伍、實施措施：</w:t>
      </w:r>
    </w:p>
    <w:p w:rsidR="00602E63" w:rsidRPr="00BA09F8" w:rsidRDefault="00602E63" w:rsidP="00602E63">
      <w:pPr>
        <w:tabs>
          <w:tab w:val="left" w:pos="93"/>
        </w:tabs>
        <w:spacing w:line="340" w:lineRule="exact"/>
        <w:ind w:leftChars="134" w:left="742" w:hangingChars="175" w:hanging="420"/>
        <w:jc w:val="both"/>
        <w:rPr>
          <w:rFonts w:eastAsia="標楷體" w:hAnsi="標楷體"/>
        </w:rPr>
      </w:pPr>
      <w:r w:rsidRPr="00BA09F8">
        <w:rPr>
          <w:rFonts w:ascii="標楷體" w:eastAsia="標楷體" w:hAnsi="標楷體" w:hint="eastAsia"/>
        </w:rPr>
        <w:t>一、</w:t>
      </w:r>
      <w:r w:rsidRPr="00BA09F8">
        <w:rPr>
          <w:rFonts w:eastAsia="標楷體" w:hAnsi="標楷體" w:hint="eastAsia"/>
        </w:rPr>
        <w:t>配合行政院人事行政總處及教育部</w:t>
      </w:r>
      <w:r w:rsidRPr="00BA09F8">
        <w:rPr>
          <w:rFonts w:ascii="標楷體" w:eastAsia="標楷體" w:hAnsi="標楷體" w:hint="eastAsia"/>
        </w:rPr>
        <w:t>推動公務人員終身學習，於每年度所</w:t>
      </w:r>
      <w:r w:rsidRPr="00BA09F8">
        <w:rPr>
          <w:rFonts w:eastAsia="標楷體" w:hAnsi="標楷體" w:hint="eastAsia"/>
        </w:rPr>
        <w:t>開設各項政策、專業知能、人文藝術等各項研習課程，本校公務人員應參加</w:t>
      </w:r>
      <w:r w:rsidRPr="00602E63">
        <w:rPr>
          <w:rFonts w:eastAsia="標楷體" w:hAnsi="標楷體" w:hint="eastAsia"/>
          <w:color w:val="000000" w:themeColor="text1"/>
        </w:rPr>
        <w:t>1-2</w:t>
      </w:r>
      <w:r w:rsidRPr="00BA09F8">
        <w:rPr>
          <w:rFonts w:eastAsia="標楷體" w:hAnsi="標楷體" w:hint="eastAsia"/>
        </w:rPr>
        <w:t>個班別以上之課程。</w:t>
      </w:r>
    </w:p>
    <w:p w:rsidR="00602E63" w:rsidRPr="00BA09F8" w:rsidRDefault="00602E63" w:rsidP="00602E63">
      <w:pPr>
        <w:tabs>
          <w:tab w:val="left" w:pos="93"/>
        </w:tabs>
        <w:spacing w:line="340" w:lineRule="exact"/>
        <w:ind w:leftChars="134" w:left="742" w:hangingChars="175" w:hanging="420"/>
        <w:jc w:val="both"/>
        <w:rPr>
          <w:rFonts w:ascii="標楷體" w:eastAsia="標楷體" w:hAnsi="標楷體"/>
        </w:rPr>
      </w:pPr>
      <w:r w:rsidRPr="00BA09F8">
        <w:rPr>
          <w:rFonts w:ascii="標楷體" w:eastAsia="標楷體" w:hAnsi="標楷體" w:hint="eastAsia"/>
        </w:rPr>
        <w:t>二、</w:t>
      </w:r>
      <w:r w:rsidRPr="00BA09F8">
        <w:rPr>
          <w:rFonts w:eastAsia="標楷體" w:hAnsi="標楷體" w:hint="eastAsia"/>
        </w:rPr>
        <w:t>配合</w:t>
      </w:r>
      <w:r w:rsidRPr="00BA09F8">
        <w:rPr>
          <w:rFonts w:ascii="標楷體" w:eastAsia="標楷體" w:hAnsi="標楷體" w:hint="eastAsia"/>
        </w:rPr>
        <w:t>為主管機關</w:t>
      </w:r>
      <w:r w:rsidRPr="00BA09F8">
        <w:rPr>
          <w:rFonts w:eastAsia="標楷體" w:hAnsi="標楷體" w:hint="eastAsia"/>
        </w:rPr>
        <w:t>辦理專題演講、研習課程及臨時分配訓練名額時，</w:t>
      </w:r>
      <w:r w:rsidRPr="00BA09F8">
        <w:rPr>
          <w:rFonts w:ascii="標楷體" w:eastAsia="標楷體" w:hAnsi="標楷體" w:hint="eastAsia"/>
        </w:rPr>
        <w:t>排定本校公務人員參加各項研習輪流順序表。</w:t>
      </w:r>
    </w:p>
    <w:p w:rsidR="00602E63" w:rsidRPr="00BA09F8" w:rsidRDefault="00602E63" w:rsidP="00602E63">
      <w:pPr>
        <w:tabs>
          <w:tab w:val="left" w:pos="93"/>
        </w:tabs>
        <w:spacing w:line="340" w:lineRule="exact"/>
        <w:ind w:leftChars="134" w:left="742" w:hangingChars="175" w:hanging="420"/>
        <w:jc w:val="both"/>
        <w:rPr>
          <w:rFonts w:ascii="標楷體" w:eastAsia="標楷體" w:hAnsi="標楷體"/>
        </w:rPr>
      </w:pPr>
      <w:r w:rsidRPr="00BA09F8">
        <w:rPr>
          <w:rFonts w:ascii="標楷體" w:eastAsia="標楷體" w:hAnsi="標楷體" w:hint="eastAsia"/>
        </w:rPr>
        <w:t>三、積極充實本校內部學習</w:t>
      </w:r>
      <w:r w:rsidRPr="00BA09F8">
        <w:rPr>
          <w:rFonts w:ascii="標楷體" w:eastAsia="標楷體" w:hAnsi="標楷體"/>
        </w:rPr>
        <w:t>網站之數位學習專區</w:t>
      </w:r>
      <w:r w:rsidRPr="00BA09F8">
        <w:rPr>
          <w:rFonts w:ascii="標楷體" w:eastAsia="標楷體" w:hAnsi="標楷體" w:hint="eastAsia"/>
        </w:rPr>
        <w:t>內容</w:t>
      </w:r>
      <w:r w:rsidRPr="00BA09F8">
        <w:rPr>
          <w:rFonts w:ascii="標楷體" w:eastAsia="標楷體" w:hAnsi="標楷體"/>
        </w:rPr>
        <w:t>、數位學習資源介紹</w:t>
      </w:r>
      <w:r w:rsidRPr="00BA09F8">
        <w:rPr>
          <w:rFonts w:ascii="標楷體" w:eastAsia="標楷體" w:hAnsi="標楷體" w:hint="eastAsia"/>
        </w:rPr>
        <w:t>，不定期提供最新數位學習相關資訊。</w:t>
      </w:r>
    </w:p>
    <w:p w:rsidR="00602E63" w:rsidRPr="00BA09F8" w:rsidRDefault="00602E63" w:rsidP="00602E63">
      <w:pPr>
        <w:tabs>
          <w:tab w:val="left" w:pos="93"/>
        </w:tabs>
        <w:spacing w:line="340" w:lineRule="exact"/>
        <w:ind w:leftChars="134" w:left="742" w:hangingChars="175" w:hanging="420"/>
        <w:jc w:val="both"/>
        <w:rPr>
          <w:rFonts w:ascii="標楷體" w:eastAsia="標楷體" w:hAnsi="標楷體"/>
        </w:rPr>
      </w:pPr>
      <w:r w:rsidRPr="00BA09F8">
        <w:rPr>
          <w:rFonts w:ascii="標楷體" w:eastAsia="標楷體" w:hAnsi="標楷體" w:hint="eastAsia"/>
        </w:rPr>
        <w:t>四、各處室配合辦理年度政策訓練課程或每年必須完成課程之必要辦理項目。所稱「與業務相關學習時數」包括年度政策訓練課程或每年必須完成課程。</w:t>
      </w:r>
    </w:p>
    <w:p w:rsidR="00602E63" w:rsidRPr="00581D6C" w:rsidRDefault="00602E63" w:rsidP="00602E63">
      <w:pPr>
        <w:widowControl/>
        <w:tabs>
          <w:tab w:val="left" w:pos="93"/>
        </w:tabs>
        <w:spacing w:line="340" w:lineRule="exact"/>
        <w:jc w:val="both"/>
        <w:rPr>
          <w:rFonts w:ascii="Arial Unicode MS" w:eastAsia="標楷體" w:hAnsi="Arial Unicode MS"/>
          <w:color w:val="000000" w:themeColor="text1"/>
          <w:kern w:val="0"/>
        </w:rPr>
      </w:pPr>
      <w:r w:rsidRPr="00581D6C">
        <w:rPr>
          <w:rFonts w:ascii="Arial Unicode MS" w:eastAsia="標楷體" w:hAnsi="Arial Unicode MS" w:hint="eastAsia"/>
          <w:color w:val="000000" w:themeColor="text1"/>
          <w:kern w:val="0"/>
        </w:rPr>
        <w:t>陸、獎勵措施：</w:t>
      </w:r>
    </w:p>
    <w:p w:rsidR="00602E63" w:rsidRPr="00BA09F8" w:rsidRDefault="00602E63" w:rsidP="00602E63">
      <w:pPr>
        <w:tabs>
          <w:tab w:val="left" w:pos="93"/>
        </w:tabs>
        <w:kinsoku w:val="0"/>
        <w:overflowPunct w:val="0"/>
        <w:autoSpaceDE w:val="0"/>
        <w:autoSpaceDN w:val="0"/>
        <w:spacing w:line="340" w:lineRule="exact"/>
        <w:ind w:leftChars="133" w:left="744" w:hangingChars="177" w:hanging="425"/>
        <w:jc w:val="both"/>
        <w:rPr>
          <w:rFonts w:ascii="標楷體" w:eastAsia="標楷體" w:hAnsi="標楷體"/>
        </w:rPr>
      </w:pPr>
      <w:r w:rsidRPr="00BA09F8">
        <w:rPr>
          <w:rFonts w:ascii="標楷體" w:eastAsia="標楷體" w:hAnsi="標楷體" w:hint="eastAsia"/>
        </w:rPr>
        <w:t>一、</w:t>
      </w:r>
      <w:r w:rsidRPr="00602E63">
        <w:rPr>
          <w:rFonts w:ascii="標楷體" w:eastAsia="標楷體" w:hAnsi="標楷體" w:hint="eastAsia"/>
          <w:color w:val="000000" w:themeColor="text1"/>
        </w:rPr>
        <w:t>當年度11月30日</w:t>
      </w:r>
      <w:r w:rsidRPr="00BA09F8">
        <w:rPr>
          <w:rFonts w:ascii="標楷體" w:eastAsia="標楷體" w:hAnsi="標楷體" w:hint="eastAsia"/>
        </w:rPr>
        <w:t>前終身學習入口網學習時數統計，學習時數總計達100小時以上，其中數位學習時數達30小時以上，業務相關學習時數</w:t>
      </w:r>
      <w:r w:rsidRPr="00BA09F8">
        <w:rPr>
          <w:rFonts w:ascii="標楷體" w:eastAsia="標楷體" w:hAnsi="標楷體"/>
        </w:rPr>
        <w:t>20小時</w:t>
      </w:r>
      <w:r w:rsidRPr="00BA09F8">
        <w:rPr>
          <w:rFonts w:ascii="標楷體" w:eastAsia="標楷體" w:hAnsi="標楷體" w:hint="eastAsia"/>
        </w:rPr>
        <w:t>以上，且完成行政院所訂年度政策訓練課程或每年必須完成課程項目基本時數者，嘉獎</w:t>
      </w:r>
      <w:r w:rsidRPr="00581D6C">
        <w:rPr>
          <w:rFonts w:ascii="標楷體" w:eastAsia="標楷體" w:hAnsi="標楷體" w:hint="eastAsia"/>
          <w:color w:val="000000" w:themeColor="text1"/>
        </w:rPr>
        <w:t>1次</w:t>
      </w:r>
      <w:r w:rsidRPr="00BA09F8">
        <w:rPr>
          <w:rFonts w:ascii="標楷體" w:eastAsia="標楷體" w:hAnsi="標楷體" w:hint="eastAsia"/>
        </w:rPr>
        <w:t>。</w:t>
      </w:r>
    </w:p>
    <w:p w:rsidR="00602E63" w:rsidRPr="00BA09F8" w:rsidRDefault="00602E63" w:rsidP="00602E63">
      <w:pPr>
        <w:tabs>
          <w:tab w:val="left" w:pos="93"/>
        </w:tabs>
        <w:kinsoku w:val="0"/>
        <w:overflowPunct w:val="0"/>
        <w:autoSpaceDE w:val="0"/>
        <w:autoSpaceDN w:val="0"/>
        <w:spacing w:line="340" w:lineRule="exact"/>
        <w:ind w:leftChars="133" w:left="744" w:hangingChars="177" w:hanging="425"/>
        <w:jc w:val="both"/>
        <w:rPr>
          <w:rFonts w:ascii="標楷體" w:eastAsia="標楷體" w:hAnsi="標楷體"/>
        </w:rPr>
      </w:pPr>
      <w:r w:rsidRPr="00BA09F8">
        <w:rPr>
          <w:rFonts w:ascii="標楷體" w:eastAsia="標楷體" w:hAnsi="標楷體" w:hint="eastAsia"/>
        </w:rPr>
        <w:t>二、</w:t>
      </w:r>
      <w:r w:rsidRPr="00602E63">
        <w:rPr>
          <w:rFonts w:ascii="標楷體" w:eastAsia="標楷體" w:hAnsi="標楷體" w:hint="eastAsia"/>
          <w:color w:val="000000" w:themeColor="text1"/>
        </w:rPr>
        <w:t>當年度11月30日</w:t>
      </w:r>
      <w:r w:rsidRPr="00BA09F8">
        <w:rPr>
          <w:rFonts w:ascii="標楷體" w:eastAsia="標楷體" w:hAnsi="標楷體" w:hint="eastAsia"/>
        </w:rPr>
        <w:t>前終身學習入口網學習時數統計，學習時數總計達130小時以上，其中數位學習時數達50小時以上，業務相關學習時數</w:t>
      </w:r>
      <w:r w:rsidRPr="00BA09F8">
        <w:rPr>
          <w:rFonts w:ascii="標楷體" w:eastAsia="標楷體" w:hAnsi="標楷體"/>
        </w:rPr>
        <w:t>20小時</w:t>
      </w:r>
      <w:r w:rsidRPr="00BA09F8">
        <w:rPr>
          <w:rFonts w:ascii="標楷體" w:eastAsia="標楷體" w:hAnsi="標楷體" w:hint="eastAsia"/>
        </w:rPr>
        <w:t>以上，且完成行政院所訂年度政策訓練課程或每年必須完成課程項目基本時數者，嘉獎</w:t>
      </w:r>
      <w:r w:rsidRPr="00581D6C">
        <w:rPr>
          <w:rFonts w:ascii="標楷體" w:eastAsia="標楷體" w:hAnsi="標楷體" w:hint="eastAsia"/>
          <w:color w:val="000000" w:themeColor="text1"/>
        </w:rPr>
        <w:t>2次</w:t>
      </w:r>
      <w:r w:rsidRPr="00BA09F8">
        <w:rPr>
          <w:rFonts w:ascii="標楷體" w:eastAsia="標楷體" w:hAnsi="標楷體" w:hint="eastAsia"/>
        </w:rPr>
        <w:t>。</w:t>
      </w:r>
    </w:p>
    <w:p w:rsidR="00602E63" w:rsidRPr="00BA09F8" w:rsidRDefault="00602E63" w:rsidP="00602E63">
      <w:pPr>
        <w:tabs>
          <w:tab w:val="left" w:pos="93"/>
        </w:tabs>
        <w:kinsoku w:val="0"/>
        <w:overflowPunct w:val="0"/>
        <w:autoSpaceDE w:val="0"/>
        <w:autoSpaceDN w:val="0"/>
        <w:spacing w:line="340" w:lineRule="exact"/>
        <w:ind w:leftChars="133" w:left="744" w:hangingChars="177" w:hanging="425"/>
        <w:jc w:val="both"/>
        <w:rPr>
          <w:rFonts w:ascii="標楷體" w:eastAsia="標楷體" w:hAnsi="標楷體"/>
        </w:rPr>
      </w:pPr>
      <w:r w:rsidRPr="00BA09F8">
        <w:rPr>
          <w:rFonts w:ascii="標楷體" w:eastAsia="標楷體" w:hAnsi="標楷體" w:hint="eastAsia"/>
        </w:rPr>
        <w:t>三、參加學習時數之多寡及其平時服務成績之表現綜合考量，酌予獎勵，並作為公務人員年終考績及升遷之評分參考依據。</w:t>
      </w:r>
    </w:p>
    <w:p w:rsidR="00602E63" w:rsidRPr="00581D6C" w:rsidRDefault="00602E63" w:rsidP="00602E63">
      <w:pPr>
        <w:spacing w:line="340" w:lineRule="exact"/>
        <w:jc w:val="both"/>
        <w:rPr>
          <w:rFonts w:ascii="標楷體" w:eastAsia="標楷體" w:hAnsi="標楷體"/>
          <w:color w:val="000000" w:themeColor="text1"/>
        </w:rPr>
      </w:pPr>
      <w:r w:rsidRPr="00581D6C">
        <w:rPr>
          <w:rFonts w:ascii="標楷體" w:eastAsia="標楷體" w:hAnsi="標楷體" w:hint="eastAsia"/>
          <w:color w:val="000000" w:themeColor="text1"/>
        </w:rPr>
        <w:t>柒、</w:t>
      </w:r>
      <w:r w:rsidRPr="00581D6C">
        <w:rPr>
          <w:rFonts w:ascii="標楷體" w:eastAsia="標楷體" w:hAnsi="標楷體" w:hint="eastAsia"/>
          <w:bCs/>
          <w:color w:val="000000" w:themeColor="text1"/>
        </w:rPr>
        <w:t>經費來源：</w:t>
      </w:r>
      <w:r w:rsidRPr="00581D6C">
        <w:rPr>
          <w:rFonts w:ascii="標楷體" w:eastAsia="標楷體" w:hAnsi="標楷體" w:hint="eastAsia"/>
          <w:color w:val="000000" w:themeColor="text1"/>
        </w:rPr>
        <w:t>本實施計畫所需經費，由年度預算項下勻支。</w:t>
      </w:r>
    </w:p>
    <w:p w:rsidR="00444FAB" w:rsidRPr="00581D6C" w:rsidRDefault="00602E63" w:rsidP="00581D6C">
      <w:pPr>
        <w:spacing w:line="340" w:lineRule="exact"/>
        <w:jc w:val="both"/>
        <w:rPr>
          <w:rFonts w:ascii="標楷體" w:eastAsia="標楷體" w:hAnsi="標楷體"/>
          <w:color w:val="000000" w:themeColor="text1"/>
        </w:rPr>
      </w:pPr>
      <w:r w:rsidRPr="00581D6C">
        <w:rPr>
          <w:rFonts w:ascii="標楷體" w:eastAsia="標楷體" w:hAnsi="標楷體" w:hint="eastAsia"/>
          <w:color w:val="000000" w:themeColor="text1"/>
        </w:rPr>
        <w:t>捌、本實施計畫經行政會議通過，並陳請校長核定後公告實施。</w:t>
      </w:r>
      <w:bookmarkStart w:id="0" w:name="_GoBack"/>
      <w:bookmarkEnd w:id="0"/>
    </w:p>
    <w:sectPr w:rsidR="00444FAB" w:rsidRPr="00581D6C" w:rsidSect="00602E6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8A" w:rsidRDefault="00F31D8A" w:rsidP="00581D6C">
      <w:r>
        <w:separator/>
      </w:r>
    </w:p>
  </w:endnote>
  <w:endnote w:type="continuationSeparator" w:id="0">
    <w:p w:rsidR="00F31D8A" w:rsidRDefault="00F31D8A" w:rsidP="0058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8A" w:rsidRDefault="00F31D8A" w:rsidP="00581D6C">
      <w:r>
        <w:separator/>
      </w:r>
    </w:p>
  </w:footnote>
  <w:footnote w:type="continuationSeparator" w:id="0">
    <w:p w:rsidR="00F31D8A" w:rsidRDefault="00F31D8A" w:rsidP="00581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63"/>
    <w:rsid w:val="002F418A"/>
    <w:rsid w:val="00444FAB"/>
    <w:rsid w:val="00581D6C"/>
    <w:rsid w:val="00602E63"/>
    <w:rsid w:val="007A1999"/>
    <w:rsid w:val="00F3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D6C"/>
    <w:pPr>
      <w:tabs>
        <w:tab w:val="center" w:pos="4153"/>
        <w:tab w:val="right" w:pos="8306"/>
      </w:tabs>
      <w:snapToGrid w:val="0"/>
    </w:pPr>
    <w:rPr>
      <w:sz w:val="20"/>
      <w:szCs w:val="20"/>
    </w:rPr>
  </w:style>
  <w:style w:type="character" w:customStyle="1" w:styleId="a4">
    <w:name w:val="頁首 字元"/>
    <w:basedOn w:val="a0"/>
    <w:link w:val="a3"/>
    <w:uiPriority w:val="99"/>
    <w:rsid w:val="00581D6C"/>
    <w:rPr>
      <w:rFonts w:ascii="Times New Roman" w:eastAsia="新細明體" w:hAnsi="Times New Roman" w:cs="Times New Roman"/>
      <w:sz w:val="20"/>
      <w:szCs w:val="20"/>
    </w:rPr>
  </w:style>
  <w:style w:type="paragraph" w:styleId="a5">
    <w:name w:val="footer"/>
    <w:basedOn w:val="a"/>
    <w:link w:val="a6"/>
    <w:uiPriority w:val="99"/>
    <w:unhideWhenUsed/>
    <w:rsid w:val="00581D6C"/>
    <w:pPr>
      <w:tabs>
        <w:tab w:val="center" w:pos="4153"/>
        <w:tab w:val="right" w:pos="8306"/>
      </w:tabs>
      <w:snapToGrid w:val="0"/>
    </w:pPr>
    <w:rPr>
      <w:sz w:val="20"/>
      <w:szCs w:val="20"/>
    </w:rPr>
  </w:style>
  <w:style w:type="character" w:customStyle="1" w:styleId="a6">
    <w:name w:val="頁尾 字元"/>
    <w:basedOn w:val="a0"/>
    <w:link w:val="a5"/>
    <w:uiPriority w:val="99"/>
    <w:rsid w:val="00581D6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D6C"/>
    <w:pPr>
      <w:tabs>
        <w:tab w:val="center" w:pos="4153"/>
        <w:tab w:val="right" w:pos="8306"/>
      </w:tabs>
      <w:snapToGrid w:val="0"/>
    </w:pPr>
    <w:rPr>
      <w:sz w:val="20"/>
      <w:szCs w:val="20"/>
    </w:rPr>
  </w:style>
  <w:style w:type="character" w:customStyle="1" w:styleId="a4">
    <w:name w:val="頁首 字元"/>
    <w:basedOn w:val="a0"/>
    <w:link w:val="a3"/>
    <w:uiPriority w:val="99"/>
    <w:rsid w:val="00581D6C"/>
    <w:rPr>
      <w:rFonts w:ascii="Times New Roman" w:eastAsia="新細明體" w:hAnsi="Times New Roman" w:cs="Times New Roman"/>
      <w:sz w:val="20"/>
      <w:szCs w:val="20"/>
    </w:rPr>
  </w:style>
  <w:style w:type="paragraph" w:styleId="a5">
    <w:name w:val="footer"/>
    <w:basedOn w:val="a"/>
    <w:link w:val="a6"/>
    <w:uiPriority w:val="99"/>
    <w:unhideWhenUsed/>
    <w:rsid w:val="00581D6C"/>
    <w:pPr>
      <w:tabs>
        <w:tab w:val="center" w:pos="4153"/>
        <w:tab w:val="right" w:pos="8306"/>
      </w:tabs>
      <w:snapToGrid w:val="0"/>
    </w:pPr>
    <w:rPr>
      <w:sz w:val="20"/>
      <w:szCs w:val="20"/>
    </w:rPr>
  </w:style>
  <w:style w:type="character" w:customStyle="1" w:styleId="a6">
    <w:name w:val="頁尾 字元"/>
    <w:basedOn w:val="a0"/>
    <w:link w:val="a5"/>
    <w:uiPriority w:val="99"/>
    <w:rsid w:val="00581D6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2021-03-02T01:35:00Z</cp:lastPrinted>
  <dcterms:created xsi:type="dcterms:W3CDTF">2021-03-02T01:37:00Z</dcterms:created>
  <dcterms:modified xsi:type="dcterms:W3CDTF">2021-03-02T01:37:00Z</dcterms:modified>
</cp:coreProperties>
</file>